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within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microct-ana-unibe-ch/microvasculature-manuscript@a42aec6</w:t>
        </w:r>
      </w:hyperlink>
      <w:r>
        <w:t xml:space="preserve"> </w:t>
      </w:r>
      <w:r>
        <w:t xml:space="preserve">on March 7,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would benefit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compounded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Moreover, we show the potential of the dual-energy approach in facilitating the distinction between bone tissue and the applied contrast agent.</w:t>
      </w:r>
    </w:p>
    <w:p>
      <w:pPr>
        <w:pStyle w:val="BodyText"/>
      </w:pPr>
      <w:r>
        <w:t xml:space="preserve">Our manuscript introduces the first non-destructive approach for 3D imaging of the vasculature within soft and hard tissues in the vicinity of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as well as for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of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as well as for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 non-destructive 3D imaging of the vasculature within bone tissue and of the bone tissue itself, especially in the case of larger bone grafts, let alone in the vicinity of metal implants, has been a challenge for decades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bone biology, bone metastatic disease, tissue engineering, implantology, and reconstructive surgery.</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as well as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as well as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as well as the larger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decalcification of the bone.</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a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with one projection acquired at every 0.05°, with 3 projections averaged for noise reduction.</w:t>
      </w:r>
      <w:r>
        <w:t xml:space="preserve"> </w:t>
      </w:r>
      <w:r>
        <w:t xml:space="preserve">Each projection image with a size of 4000 x 2672 pixels was exposed for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with one projection acquired at every 0.1°, with 2 projections averaged for noise reduction.</w:t>
      </w:r>
      <w:r>
        <w:t xml:space="preserve"> </w:t>
      </w:r>
      <w:r>
        <w:t xml:space="preserve">Each projection image with a size of 4000 x 2672 pixels was exposed for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with one projection acquired at every 0.1°, with 3 projections averaged for noise reduction.</w:t>
      </w:r>
      <w:r>
        <w:t xml:space="preserve"> </w:t>
      </w:r>
      <w:r>
        <w:t xml:space="preserve">Each projection image with a size of 4904 x 3280 pixels was exposed for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with one projection acquired at every 0.1°, with 4 projections averaged for noise reduction.</w:t>
      </w:r>
      <w:r>
        <w:t xml:space="preserve"> </w:t>
      </w:r>
      <w:r>
        <w:t xml:space="preserve">Each projection image with a size of 4000 x 2672 pixels was exposed for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undergoing a decalcification procedure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a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with one projection acquired at every 0.1°, with 5 projections averaged for noise reduction.</w:t>
      </w:r>
      <w:r>
        <w:t xml:space="preserve"> </w:t>
      </w:r>
      <w:r>
        <w:t xml:space="preserve">Each projection image was exposed for 225 ms.</w:t>
      </w:r>
      <w:r>
        <w:t xml:space="preserve"> </w:t>
      </w:r>
      <w:r>
        <w:t xml:space="preserve">This resulted in an isotropic voxel size of 21 μm.</w:t>
      </w:r>
      <w:r>
        <w:t xml:space="preserve"> </w:t>
      </w:r>
      <w:r>
        <w:t xml:space="preserve">For the visualizations shown in panels B and C, the sample was rotated over 360° with one projection acquired at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was exposed for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the pulp chamber and root canal with the corresponding vessels are unambiguously visualized.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the pulp chamber and root canal with the corresponding vessels are unambiguously visualized.</w:t>
      </w:r>
      <w:r>
        <w:t xml:space="preserve"> </w:t>
      </w:r>
      <w:r>
        <w:t xml:space="preserve">Due to the voxel size of 8–9 μm, microvessels with a diameter of 40 μm or less cannot be visualized in such large samples.</w:t>
      </w:r>
    </w:p>
    <w:bookmarkEnd w:id="0"/>
    <w:p>
      <w:pPr>
        <w:pStyle w:val="BodyText"/>
      </w:pPr>
      <w:r>
        <w:t xml:space="preserve">Osseointegration of implants is influenced by angiogenesis.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fully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as well as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with one projection acquired at every 0.18°, with 4 projections averaged for noise reduction.</w:t>
      </w:r>
      <w:r>
        <w:t xml:space="preserve"> </w:t>
      </w:r>
      <w:r>
        <w:t xml:space="preserve">Each projection image with a size of 2929 x 1944 pixels was exposed for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with one projection acquired at every 0.1°, with 7 projections averaged for noise reduction.</w:t>
      </w:r>
      <w:r>
        <w:t xml:space="preserve"> </w:t>
      </w:r>
      <w:r>
        <w:t xml:space="preserve">Each projection image with a size of 4032 x 2688 pixels was exposed for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possible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as well as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table show in</w:t>
      </w:r>
      <w:r>
        <w:t xml:space="preserve"> </w:t>
      </w:r>
      <w:hyperlink r:id="rId144">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6">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42aec69655b2696fbefe96a952335c10406122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42aec69655b2696fbefe96a952335c104061226"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a42aec69655b2696fbefe96a952335c10406122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2" Target="https//www.mic.unibe.ch/" TargetMode="External"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a42aec69655b2696fbefe96a952335c104061226#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a42aec69655b2696fbefe96a952335c104061226"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23" Target="https://microct-ana-unibe-ch.github.io/microvasculature-manuscript/v/a42aec69655b2696fbefe96a952335c104061226/"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within bone and peri-implant tissues</dc:title>
  <dc:creator/>
  <dc:language>en-US</dc:language>
  <cp:keywords>microCT, contrast agent, microvasculature</cp:keywords>
  <dcterms:created xsi:type="dcterms:W3CDTF">2025-03-07T12:28:14Z</dcterms:created>
  <dcterms:modified xsi:type="dcterms:W3CDTF">2025-03-07T12:28:14Z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2025-03-07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